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85" w:beforeLines="50" w:beforeAutospacing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5094605</wp:posOffset>
                </wp:positionH>
                <wp:positionV relativeFrom="paragraph">
                  <wp:posOffset>-213360</wp:posOffset>
                </wp:positionV>
                <wp:extent cx="883920" cy="2667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883920" cy="266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別添１</w:t>
                            </w:r>
                          </w:p>
                        </w:txbxContent>
                      </wps:txbx>
                      <wps:bodyPr vertOverflow="overflow" horzOverflow="overflow" wrap="square" lIns="36000" tIns="36000" rIns="36000" bIns="36000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16.8pt;mso-position-vertical-relative:text;mso-position-horizontal-relative:text;v-text-anchor:middle;position:absolute;height:21pt;mso-wrap-distance-top:0pt;width:69.59pt;mso-wrap-distance-left:5.65pt;margin-left:401.15pt;z-index:2;" o:spid="_x0000_s1026" o:allowincell="t" o:allowoverlap="t" filled="f" stroked="t" strokecolor="#000000 [3213]" strokeweight="0.5pt" o:spt="1">
                <v:fill/>
                <v:stroke linestyle="single" miterlimit="8" endcap="flat" dashstyle="solid" filltype="solid"/>
                <v:textbox style="layout-flow:horizontal;" inset="0.99999999999999978mm,0.99999999999999978mm,0.99999999999999978mm,0.9999999999999997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別添１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ゴシック" w:hAnsi="ＭＳ ゴシック" w:eastAsia="ＭＳ ゴシック"/>
          <w:sz w:val="28"/>
        </w:rPr>
        <w:t>社会機能の維持必要な場合の濃厚接触者の待機期間の取扱概要</w:t>
      </w:r>
    </w:p>
    <w:p>
      <w:pPr>
        <w:pStyle w:val="0"/>
        <w:spacing w:before="185" w:beforeLines="50" w:beforeAutospacing="0"/>
        <w:rPr>
          <w:rFonts w:hint="eastAsia"/>
        </w:rPr>
      </w:pPr>
      <w:r>
        <w:rPr>
          <w:rFonts w:hint="eastAsia"/>
        </w:rPr>
        <w:t>　新型コロナ感染者と</w:t>
      </w:r>
      <w:r>
        <w:rPr>
          <w:rFonts w:hint="eastAsia" w:ascii="ＭＳ ゴシック" w:hAnsi="ＭＳ ゴシック" w:eastAsia="ＭＳ ゴシック"/>
        </w:rPr>
        <w:t>濃厚接触があった者</w:t>
      </w:r>
      <w:r>
        <w:rPr>
          <w:rFonts w:hint="eastAsia"/>
        </w:rPr>
        <w:t>は、感染している可能性があるため</w:t>
      </w:r>
      <w:r>
        <w:rPr>
          <w:rFonts w:hint="eastAsia" w:ascii="ＭＳ 明朝" w:hAnsi="ＭＳ 明朝" w:eastAsia="ＭＳ 明朝"/>
        </w:rPr>
        <w:t>、</w:t>
      </w:r>
      <w:r>
        <w:rPr>
          <w:rFonts w:hint="eastAsia" w:ascii="ＭＳ ゴシック" w:hAnsi="ＭＳ ゴシック" w:eastAsia="ＭＳ ゴシック"/>
        </w:rPr>
        <w:t>不要不急の外出を避け、一定期間の自宅待機</w:t>
      </w:r>
      <w:r>
        <w:rPr>
          <w:rFonts w:hint="eastAsia"/>
        </w:rPr>
        <w:t>をお願いしています。</w:t>
      </w:r>
    </w:p>
    <w:p>
      <w:pPr>
        <w:pStyle w:val="0"/>
        <w:spacing w:line="300" w:lineRule="exact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濃厚接触者とは</w:t>
      </w:r>
    </w:p>
    <w:p>
      <w:pPr>
        <w:pStyle w:val="0"/>
        <w:ind w:left="240" w:hanging="240" w:hangingChars="100"/>
        <w:rPr>
          <w:rFonts w:hint="eastAsia"/>
        </w:rPr>
      </w:pPr>
      <w:r>
        <w:rPr>
          <w:rFonts w:hint="eastAsia"/>
        </w:rPr>
        <w:t>　　感染者の感染可能期間（発症日（無症状者の場合は検査実施日）の２日前から最終接触日まで）に以下の①～④の例に該当するような者です。</w:t>
      </w:r>
    </w:p>
    <w:p>
      <w:pPr>
        <w:pStyle w:val="0"/>
        <w:ind w:left="240" w:hanging="240" w:hangingChars="100"/>
        <w:rPr>
          <w:rFonts w:hint="eastAsia"/>
        </w:rPr>
      </w:pPr>
      <w:r>
        <w:rPr>
          <w:rFonts w:hint="eastAsia"/>
        </w:rPr>
        <w:t>　（保健所が感染者から聞き取り調査等を行った上で特定）</w:t>
      </w:r>
    </w:p>
    <w:p>
      <w:pPr>
        <w:pStyle w:val="0"/>
        <w:spacing w:line="300" w:lineRule="exac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z w:val="21"/>
        </w:rPr>
        <w:t>①</w:t>
      </w:r>
      <w:r>
        <w:rPr>
          <w:rFonts w:hint="eastAsia"/>
          <w:w w:val="100"/>
          <w:sz w:val="21"/>
        </w:rPr>
        <w:t>感染者と生活空間（食事や洗面浴室等の場）を共有している者（</w:t>
      </w:r>
      <w:r>
        <w:rPr>
          <w:rFonts w:hint="eastAsia" w:ascii="ＭＳ ゴシック" w:hAnsi="ＭＳ ゴシック" w:eastAsia="ＭＳ ゴシック"/>
          <w:w w:val="100"/>
          <w:sz w:val="21"/>
        </w:rPr>
        <w:t>同居家族や寮の同室者等</w:t>
      </w:r>
      <w:r>
        <w:rPr>
          <w:rFonts w:hint="eastAsia"/>
          <w:w w:val="100"/>
          <w:sz w:val="21"/>
        </w:rPr>
        <w:t>）</w:t>
      </w:r>
    </w:p>
    <w:p>
      <w:pPr>
        <w:pStyle w:val="0"/>
        <w:spacing w:line="300" w:lineRule="exact"/>
        <w:rPr>
          <w:rFonts w:hint="eastAsia"/>
          <w:spacing w:val="-16"/>
          <w:w w:val="100"/>
        </w:rPr>
      </w:pPr>
      <w:r>
        <w:rPr>
          <w:rFonts w:hint="eastAsia"/>
        </w:rPr>
        <w:t>　　</w:t>
      </w:r>
      <w:r>
        <w:rPr>
          <w:rFonts w:hint="eastAsia"/>
          <w:sz w:val="21"/>
        </w:rPr>
        <w:t>②</w:t>
      </w:r>
      <w:r>
        <w:rPr>
          <w:rFonts w:hint="eastAsia" w:ascii="ＭＳ ゴシック" w:hAnsi="ＭＳ ゴシック" w:eastAsia="ＭＳ ゴシック"/>
          <w:spacing w:val="-16"/>
          <w:w w:val="100"/>
          <w:sz w:val="21"/>
        </w:rPr>
        <w:t>１ｍ以内</w:t>
      </w:r>
      <w:r>
        <w:rPr>
          <w:rFonts w:hint="eastAsia"/>
          <w:spacing w:val="-16"/>
          <w:w w:val="100"/>
          <w:sz w:val="21"/>
        </w:rPr>
        <w:t>（互いに手を伸ばした際に触れる距離）で、</w:t>
      </w:r>
      <w:r>
        <w:rPr>
          <w:rFonts w:hint="eastAsia" w:ascii="ＭＳ ゴシック" w:hAnsi="ＭＳ ゴシック" w:eastAsia="ＭＳ ゴシック"/>
          <w:spacing w:val="-16"/>
          <w:w w:val="100"/>
          <w:sz w:val="21"/>
        </w:rPr>
        <w:t>互いにマスクなしで会話</w:t>
      </w:r>
      <w:r>
        <w:rPr>
          <w:rFonts w:hint="eastAsia"/>
          <w:spacing w:val="-16"/>
          <w:w w:val="100"/>
          <w:sz w:val="21"/>
        </w:rPr>
        <w:t>をした者</w:t>
      </w:r>
    </w:p>
    <w:p>
      <w:pPr>
        <w:pStyle w:val="0"/>
        <w:spacing w:line="300" w:lineRule="exact"/>
        <w:ind w:left="720" w:hanging="720" w:hangingChars="30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z w:val="21"/>
        </w:rPr>
        <w:t>③１～２ｍの距離（互いに手を伸ばした際に触れない距離）で、</w:t>
      </w:r>
      <w:r>
        <w:rPr>
          <w:rFonts w:hint="eastAsia" w:ascii="ＭＳ ゴシック" w:hAnsi="ＭＳ ゴシック" w:eastAsia="ＭＳ ゴシック"/>
          <w:sz w:val="21"/>
        </w:rPr>
        <w:t>マスク着用等なしで、感染者と</w:t>
      </w:r>
      <w:r>
        <w:rPr>
          <w:rFonts w:hint="eastAsia" w:ascii="ＭＳ ゴシック" w:hAnsi="ＭＳ ゴシック" w:eastAsia="ＭＳ ゴシック"/>
          <w:sz w:val="21"/>
        </w:rPr>
        <w:t>15</w:t>
      </w:r>
      <w:r>
        <w:rPr>
          <w:rFonts w:hint="eastAsia" w:ascii="ＭＳ ゴシック" w:hAnsi="ＭＳ ゴシック" w:eastAsia="ＭＳ ゴシック"/>
          <w:sz w:val="21"/>
        </w:rPr>
        <w:t>分以上の接触（会話や飲食等</w:t>
      </w:r>
      <w:r>
        <w:rPr>
          <w:rFonts w:hint="eastAsia"/>
          <w:sz w:val="21"/>
        </w:rPr>
        <w:t>）があった者</w:t>
      </w:r>
    </w:p>
    <w:p>
      <w:pPr>
        <w:pStyle w:val="0"/>
        <w:spacing w:line="300" w:lineRule="exact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z w:val="21"/>
        </w:rPr>
        <w:t>④感染者からの距離に関係なく、換気等が不十分な空間に一緒にいた者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濃厚接触者の待機期間（</w:t>
      </w:r>
      <w:r>
        <w:rPr>
          <w:rFonts w:hint="eastAsia" w:ascii="ＭＳ 明朝" w:hAnsi="ＭＳ 明朝" w:eastAsia="ＭＳ 明朝"/>
        </w:rPr>
        <w:t>最終接触日からの日数。</w:t>
      </w:r>
      <w:r>
        <w:rPr>
          <w:rFonts w:hint="eastAsia" w:ascii="ＭＳ ゴシック" w:hAnsi="ＭＳ ゴシック" w:eastAsia="ＭＳ ゴシック"/>
        </w:rPr>
        <w:t>最終接触日は０日目とカウント</w:t>
      </w:r>
      <w:r>
        <w:rPr>
          <w:rFonts w:hint="eastAsia" w:ascii="ＭＳ 明朝" w:hAnsi="ＭＳ 明朝" w:eastAsia="ＭＳ 明朝"/>
        </w:rPr>
        <w:t>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814"/>
        <w:gridCol w:w="1814"/>
        <w:gridCol w:w="1815"/>
        <w:gridCol w:w="1816"/>
      </w:tblGrid>
      <w:tr>
        <w:trPr>
          <w:trHeight w:val="340" w:hRule="atLeast"/>
        </w:trPr>
        <w:tc>
          <w:tcPr>
            <w:tcW w:w="907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オミクロン株</w:t>
            </w:r>
          </w:p>
        </w:tc>
      </w:tr>
      <w:tr>
        <w:trPr>
          <w:trHeight w:val="340" w:hRule="atLeast"/>
        </w:trPr>
        <w:tc>
          <w:tcPr>
            <w:tcW w:w="181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1/13</w:t>
            </w:r>
            <w:r>
              <w:rPr>
                <w:rFonts w:hint="eastAsia"/>
              </w:rPr>
              <w:t>以前</w:t>
            </w:r>
          </w:p>
        </w:tc>
        <w:tc>
          <w:tcPr>
            <w:tcW w:w="362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1/14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1/27</w:t>
            </w:r>
          </w:p>
        </w:tc>
        <w:tc>
          <w:tcPr>
            <w:tcW w:w="36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1/28</w:t>
            </w:r>
            <w:r>
              <w:rPr>
                <w:rFonts w:hint="eastAsia"/>
                <w:color w:val="FF0000"/>
              </w:rPr>
              <w:t>以降（※）</w:t>
            </w:r>
          </w:p>
        </w:tc>
      </w:tr>
      <w:tr>
        <w:trPr>
          <w:trHeight w:val="340" w:hRule="atLeast"/>
        </w:trPr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原　則</w:t>
            </w:r>
          </w:p>
        </w:tc>
        <w:tc>
          <w:tcPr>
            <w:tcW w:w="181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w w:val="66"/>
              </w:rPr>
              <w:t>社会機能維持者の特例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原　則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w w:val="66"/>
              </w:rPr>
              <w:t>社会機能維持者の特例</w:t>
            </w:r>
          </w:p>
        </w:tc>
      </w:tr>
      <w:tr>
        <w:trPr>
          <w:trHeight w:val="340" w:hRule="atLeast"/>
        </w:trPr>
        <w:tc>
          <w:tcPr>
            <w:tcW w:w="181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日間</w:t>
            </w:r>
          </w:p>
        </w:tc>
        <w:tc>
          <w:tcPr>
            <w:tcW w:w="181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日間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w w:val="80"/>
              </w:rPr>
            </w:pPr>
            <w:r>
              <w:rPr>
                <w:rFonts w:hint="eastAsia" w:ascii="ＭＳ ゴシック" w:hAnsi="ＭＳ ゴシック" w:eastAsia="ＭＳ ゴシック"/>
                <w:w w:val="66"/>
              </w:rPr>
              <w:t>６日目（又は７日目）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w w:val="70"/>
              </w:rPr>
              <w:t>７日間</w:t>
            </w:r>
            <w:r>
              <w:rPr>
                <w:rFonts w:hint="eastAsia"/>
                <w:color w:val="FF0000"/>
                <w:w w:val="70"/>
              </w:rPr>
              <w:t>(</w:t>
            </w:r>
            <w:r>
              <w:rPr>
                <w:rFonts w:hint="eastAsia"/>
                <w:color w:val="FF0000"/>
                <w:w w:val="70"/>
              </w:rPr>
              <w:t>８日目解除</w:t>
            </w:r>
            <w:r>
              <w:rPr>
                <w:rFonts w:hint="eastAsia"/>
                <w:color w:val="FF0000"/>
                <w:w w:val="70"/>
              </w:rPr>
              <w:t>)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D4F3B5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FF0000"/>
                <w:w w:val="8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w w:val="80"/>
              </w:rPr>
              <w:t>５日目</w:t>
            </w:r>
          </w:p>
        </w:tc>
      </w:tr>
    </w:tbl>
    <w:p>
      <w:pPr>
        <w:pStyle w:val="0"/>
        <w:spacing w:line="240" w:lineRule="exact"/>
        <w:jc w:val="both"/>
        <w:rPr>
          <w:rFonts w:hint="eastAsia"/>
          <w:color w:val="FF0000"/>
          <w:w w:val="100"/>
        </w:rPr>
      </w:pPr>
      <w:r>
        <w:rPr>
          <w:rFonts w:hint="eastAsia"/>
          <w:color w:val="FF0000"/>
          <w:w w:val="100"/>
          <w:sz w:val="21"/>
        </w:rPr>
        <w:t>※</w:t>
      </w:r>
      <w:r>
        <w:rPr>
          <w:rFonts w:hint="eastAsia"/>
          <w:color w:val="FF0000"/>
          <w:w w:val="100"/>
          <w:sz w:val="21"/>
        </w:rPr>
        <w:t>10</w:t>
      </w:r>
      <w:r>
        <w:rPr>
          <w:rFonts w:hint="eastAsia"/>
          <w:color w:val="FF0000"/>
          <w:w w:val="100"/>
          <w:sz w:val="21"/>
        </w:rPr>
        <w:t>日間を経過するまでは、検温など自身による健康状態の確認等を実施</w:t>
      </w:r>
    </w:p>
    <w:p>
      <w:pPr>
        <w:pStyle w:val="0"/>
        <w:spacing w:line="240" w:lineRule="exact"/>
        <w:rPr>
          <w:rFonts w:hint="eastAsia"/>
        </w:rPr>
      </w:pP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３　社会機能維持者の待機期間の特例</w:t>
      </w:r>
    </w:p>
    <w:p>
      <w:pPr>
        <w:pStyle w:val="0"/>
        <w:ind w:left="240" w:hanging="240" w:hangingChars="100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spacing w:val="-4"/>
        </w:rPr>
        <w:t>社会機能を維持するために必要な事業に従事する者（社会機能維持者）については、やむを得ない場合に、</w:t>
      </w:r>
      <w:r>
        <w:rPr>
          <w:rFonts w:hint="eastAsia" w:ascii="ＭＳ ゴシック" w:hAnsi="ＭＳ ゴシック" w:eastAsia="ＭＳ ゴシック"/>
          <w:spacing w:val="-4"/>
        </w:rPr>
        <w:t>一定の要件のもと</w:t>
      </w:r>
      <w:r>
        <w:rPr>
          <w:rFonts w:hint="eastAsia" w:ascii="ＭＳ ゴシック" w:hAnsi="ＭＳ ゴシック" w:eastAsia="ＭＳ ゴシック"/>
          <w:color w:val="FF0000"/>
          <w:spacing w:val="-4"/>
        </w:rPr>
        <w:t>７日間</w:t>
      </w:r>
      <w:r>
        <w:rPr>
          <w:rFonts w:hint="eastAsia" w:ascii="ＭＳ ゴシック" w:hAnsi="ＭＳ ゴシック" w:eastAsia="ＭＳ ゴシック"/>
          <w:spacing w:val="-4"/>
        </w:rPr>
        <w:t>を待たずに自宅待機を解除</w:t>
      </w:r>
      <w:r>
        <w:rPr>
          <w:rFonts w:hint="eastAsia"/>
          <w:spacing w:val="-4"/>
        </w:rPr>
        <w:t>できます。</w:t>
      </w:r>
    </w:p>
    <w:p>
      <w:pPr>
        <w:pStyle w:val="0"/>
        <w:ind w:left="240" w:hanging="240" w:hangingChars="100"/>
        <w:rPr>
          <w:rFonts w:hint="eastAsia"/>
        </w:rPr>
      </w:pPr>
      <w:r>
        <w:rPr>
          <w:rFonts w:hint="eastAsia"/>
          <w:spacing w:val="-4"/>
        </w:rPr>
        <w:t>　　</w:t>
      </w:r>
      <w:r>
        <w:rPr>
          <w:rFonts w:hint="eastAsia" w:ascii="ＭＳ ゴシック" w:hAnsi="ＭＳ ゴシック" w:eastAsia="ＭＳ ゴシック"/>
          <w:spacing w:val="-4"/>
          <w:w w:val="90"/>
        </w:rPr>
        <w:t>社会機能の維持に必要な事業に該当するか、実際に待機期間を短縮するかは事業者が判断</w:t>
      </w:r>
    </w:p>
    <w:p>
      <w:pPr>
        <w:pStyle w:val="0"/>
        <w:rPr>
          <w:rFonts w:hint="eastAsia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(1) </w:t>
      </w:r>
      <w:r>
        <w:rPr>
          <w:rFonts w:hint="eastAsia" w:ascii="ＭＳ ゴシック" w:hAnsi="ＭＳ ゴシック" w:eastAsia="ＭＳ ゴシック"/>
        </w:rPr>
        <w:t>待機解除の要件等</w:t>
      </w:r>
      <w:bookmarkStart w:id="0" w:name="_GoBack"/>
      <w:bookmarkEnd w:id="0"/>
    </w:p>
    <w:p>
      <w:pPr>
        <w:pStyle w:val="0"/>
        <w:spacing w:line="340" w:lineRule="exact"/>
        <w:rPr>
          <w:rFonts w:hint="eastAsia"/>
        </w:rPr>
      </w:pPr>
      <w:r>
        <w:rPr>
          <w:rFonts w:hint="eastAsia"/>
        </w:rPr>
        <w:t>　　①濃厚接触者となった社会機能維持者の業務従事が</w:t>
      </w:r>
      <w:r>
        <w:rPr>
          <w:rFonts w:hint="eastAsia" w:ascii="ＭＳ ゴシック" w:hAnsi="ＭＳ ゴシック" w:eastAsia="ＭＳ ゴシック"/>
        </w:rPr>
        <w:t>事業者の事業継続に必要</w:t>
      </w:r>
    </w:p>
    <w:p>
      <w:pPr>
        <w:pStyle w:val="0"/>
        <w:spacing w:line="340" w:lineRule="exact"/>
        <w:rPr>
          <w:rFonts w:hint="eastAsia"/>
        </w:rPr>
      </w:pPr>
      <w:r>
        <w:rPr>
          <w:rFonts w:hint="eastAsia"/>
        </w:rPr>
        <w:t>　　②</w:t>
      </w:r>
      <w:r>
        <w:rPr>
          <w:rFonts w:hint="eastAsia" w:ascii="ＭＳ ゴシック" w:hAnsi="ＭＳ ゴシック" w:eastAsia="ＭＳ ゴシック"/>
        </w:rPr>
        <w:t>無症状</w:t>
      </w:r>
      <w:r>
        <w:rPr>
          <w:rFonts w:hint="eastAsia"/>
        </w:rPr>
        <w:t>であること</w:t>
      </w:r>
    </w:p>
    <w:p>
      <w:pPr>
        <w:pStyle w:val="0"/>
        <w:spacing w:line="340" w:lineRule="exact"/>
        <w:rPr>
          <w:rFonts w:hint="eastAsia"/>
        </w:rPr>
      </w:pPr>
      <w:r>
        <w:rPr>
          <w:rFonts w:hint="eastAsia"/>
        </w:rPr>
        <w:t>　　③</w:t>
      </w:r>
      <w:r>
        <w:rPr>
          <w:rFonts w:hint="eastAsia" w:ascii="ＭＳ ゴシック" w:hAnsi="ＭＳ ゴシック" w:eastAsia="ＭＳ ゴシック"/>
        </w:rPr>
        <w:t>ＰＣＲ検査等で陰性</w:t>
      </w:r>
      <w:r>
        <w:rPr>
          <w:rFonts w:hint="eastAsia"/>
        </w:rPr>
        <w:t>が確認されていること</w:t>
      </w:r>
    </w:p>
    <w:p>
      <w:pPr>
        <w:pStyle w:val="0"/>
        <w:spacing w:line="340" w:lineRule="exact"/>
        <w:rPr>
          <w:rFonts w:hint="eastAsia"/>
        </w:rPr>
      </w:pPr>
      <w:r>
        <w:rPr>
          <w:rFonts w:hint="eastAsia"/>
        </w:rPr>
        <w:t>　　　※事業者が検査結果を必ず確認すること。</w:t>
      </w:r>
      <w:r>
        <w:rPr>
          <w:rFonts w:hint="eastAsia" w:ascii="ＭＳ ゴシック" w:hAnsi="ＭＳ ゴシック" w:eastAsia="ＭＳ ゴシック"/>
        </w:rPr>
        <w:t>検査費用は事業者が負担。</w:t>
      </w:r>
    </w:p>
    <w:p>
      <w:pPr>
        <w:pStyle w:val="0"/>
        <w:spacing w:line="340" w:lineRule="exact"/>
        <w:rPr>
          <w:rFonts w:hint="eastAsia"/>
        </w:rPr>
      </w:pPr>
      <w:r>
        <w:rPr>
          <w:rFonts w:hint="eastAsia"/>
        </w:rPr>
        <w:t>　　④</w:t>
      </w:r>
      <w:r>
        <w:rPr>
          <w:rFonts w:hint="eastAsia" w:ascii="ＭＳ ゴシック" w:hAnsi="ＭＳ ゴシック" w:eastAsia="ＭＳ ゴシック"/>
        </w:rPr>
        <w:t>事業者において感染対策を徹底</w:t>
      </w:r>
      <w:r>
        <w:rPr>
          <w:rFonts w:hint="eastAsia"/>
        </w:rPr>
        <w:t>すること</w:t>
      </w:r>
    </w:p>
    <w:p>
      <w:pPr>
        <w:pStyle w:val="0"/>
        <w:spacing w:line="340" w:lineRule="exact"/>
        <w:ind w:left="720" w:hanging="720" w:hangingChars="300"/>
        <w:rPr>
          <w:rFonts w:hint="eastAsia"/>
        </w:rPr>
      </w:pPr>
      <w:r>
        <w:rPr>
          <w:rFonts w:hint="eastAsia"/>
        </w:rPr>
        <w:t>　　⑤当該社会機能維持者は</w:t>
      </w:r>
      <w:r>
        <w:rPr>
          <w:rFonts w:hint="eastAsia" w:ascii="ＭＳ ゴシック" w:hAnsi="ＭＳ ゴシック" w:eastAsia="ＭＳ ゴシック"/>
        </w:rPr>
        <w:t>10</w:t>
      </w:r>
      <w:r>
        <w:rPr>
          <w:rFonts w:hint="eastAsia" w:ascii="ＭＳ ゴシック" w:hAnsi="ＭＳ ゴシック" w:eastAsia="ＭＳ ゴシック"/>
        </w:rPr>
        <w:t>日目までは、業務従事以外の不要不急の外出を控え、通勤時は公共交通機関の利用をできる限り避ける</w:t>
      </w:r>
      <w:r>
        <w:rPr>
          <w:rFonts w:hint="eastAsia"/>
        </w:rPr>
        <w:t>。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</w:rPr>
        <w:t xml:space="preserve">(2) </w:t>
      </w:r>
      <w:r>
        <w:rPr>
          <w:rFonts w:hint="eastAsia" w:ascii="ＭＳ ゴシック" w:hAnsi="ＭＳ ゴシック" w:eastAsia="ＭＳ ゴシック"/>
        </w:rPr>
        <w:t>検査ごとの取扱い等</w:t>
      </w:r>
    </w:p>
    <w:tbl>
      <w:tblPr>
        <w:tblStyle w:val="17"/>
        <w:tblW w:w="0" w:type="auto"/>
        <w:tblInd w:w="235" w:type="dxa"/>
        <w:tblLayout w:type="fixed"/>
        <w:tblLook w:firstRow="1" w:lastRow="0" w:firstColumn="1" w:lastColumn="0" w:noHBand="0" w:noVBand="1" w:val="04A0"/>
      </w:tblPr>
      <w:tblGrid>
        <w:gridCol w:w="1440"/>
        <w:gridCol w:w="1920"/>
        <w:gridCol w:w="1680"/>
        <w:gridCol w:w="2400"/>
        <w:gridCol w:w="1680"/>
      </w:tblGrid>
      <w:tr>
        <w:trPr>
          <w:trHeight w:val="445" w:hRule="atLeast"/>
        </w:trPr>
        <w:tc>
          <w:tcPr>
            <w:tcW w:w="1440" w:type="dxa"/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種　類</w:t>
            </w:r>
          </w:p>
        </w:tc>
        <w:tc>
          <w:tcPr>
            <w:tcW w:w="1920" w:type="dxa"/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特徴</w:t>
            </w:r>
          </w:p>
        </w:tc>
        <w:tc>
          <w:tcPr>
            <w:tcW w:w="1680" w:type="dxa"/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判定時間</w:t>
            </w:r>
          </w:p>
        </w:tc>
        <w:tc>
          <w:tcPr>
            <w:tcW w:w="2400" w:type="dxa"/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待機期間の取扱い</w:t>
            </w:r>
          </w:p>
        </w:tc>
        <w:tc>
          <w:tcPr>
            <w:tcW w:w="1680" w:type="dxa"/>
            <w:shd w:val="clear" w:color="auto" w:fill="D4F3B5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費用の目安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1</w:t>
            </w:r>
            <w:r>
              <w:rPr>
                <w:rFonts w:hint="eastAsia"/>
                <w:sz w:val="21"/>
              </w:rPr>
              <w:t>回あたり）</w:t>
            </w:r>
          </w:p>
        </w:tc>
      </w:tr>
      <w:tr>
        <w:trPr>
          <w:trHeight w:val="680" w:hRule="atLeast"/>
        </w:trPr>
        <w:tc>
          <w:tcPr>
            <w:tcW w:w="1440" w:type="dxa"/>
            <w:vAlign w:val="center"/>
          </w:tcPr>
          <w:p>
            <w:pPr>
              <w:pStyle w:val="0"/>
              <w:spacing w:line="280" w:lineRule="exact"/>
              <w:ind w:left="-3" w:leftChars="-44" w:right="-106" w:rightChars="-44" w:hanging="103" w:hangingChars="49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核酸検出検査</w:t>
            </w:r>
          </w:p>
          <w:p>
            <w:pPr>
              <w:pStyle w:val="0"/>
              <w:spacing w:line="280" w:lineRule="exact"/>
              <w:ind w:left="-3" w:leftChars="-44" w:right="-106" w:rightChars="-44" w:hanging="103" w:hangingChars="49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</w:t>
            </w:r>
            <w:r>
              <w:rPr>
                <w:rFonts w:hint="eastAsia"/>
                <w:sz w:val="21"/>
              </w:rPr>
              <w:t>PCR</w:t>
            </w:r>
            <w:r>
              <w:rPr>
                <w:rFonts w:hint="eastAsia"/>
                <w:sz w:val="21"/>
              </w:rPr>
              <w:t>検査）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w w:val="100"/>
                <w:sz w:val="21"/>
              </w:rPr>
            </w:pPr>
            <w:r>
              <w:rPr>
                <w:rFonts w:hint="eastAsia"/>
                <w:w w:val="100"/>
                <w:sz w:val="21"/>
              </w:rPr>
              <w:t>遺伝子配列を検査</w:t>
            </w:r>
          </w:p>
          <w:p>
            <w:pPr>
              <w:pStyle w:val="0"/>
              <w:spacing w:line="280" w:lineRule="exact"/>
              <w:rPr>
                <w:rFonts w:hint="eastAsia"/>
                <w:w w:val="100"/>
                <w:sz w:val="21"/>
              </w:rPr>
            </w:pPr>
            <w:r>
              <w:rPr>
                <w:rFonts w:hint="eastAsia"/>
                <w:w w:val="100"/>
                <w:sz w:val="21"/>
              </w:rPr>
              <w:t>唾液で検査可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数日（検体郵送時）</w:t>
            </w:r>
          </w:p>
          <w:p>
            <w:pPr>
              <w:pStyle w:val="0"/>
              <w:spacing w:line="280" w:lineRule="exact"/>
              <w:rPr>
                <w:rFonts w:hint="eastAsia"/>
                <w:w w:val="80"/>
                <w:sz w:val="21"/>
              </w:rPr>
            </w:pPr>
            <w:r>
              <w:rPr>
                <w:rFonts w:hint="eastAsia"/>
                <w:w w:val="80"/>
                <w:sz w:val="21"/>
              </w:rPr>
              <w:t>検査時間は数時間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color w:val="FF0000"/>
                <w:sz w:val="21"/>
                <w:highlight w:val="none"/>
              </w:rPr>
              <w:t>５</w:t>
            </w:r>
            <w:r>
              <w:rPr>
                <w:rFonts w:hint="eastAsia"/>
                <w:sz w:val="21"/>
                <w:highlight w:val="none"/>
              </w:rPr>
              <w:t>日目に検査し、</w:t>
            </w:r>
          </w:p>
          <w:p>
            <w:pPr>
              <w:pStyle w:val="0"/>
              <w:spacing w:line="280" w:lineRule="exact"/>
              <w:rPr>
                <w:rFonts w:hint="eastAsia"/>
                <w:sz w:val="21"/>
                <w:highlight w:val="none"/>
              </w:rPr>
            </w:pPr>
            <w:r>
              <w:rPr>
                <w:rFonts w:hint="eastAsia"/>
                <w:sz w:val="21"/>
                <w:highlight w:val="none"/>
              </w:rPr>
              <w:t>陰性確認後から解除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3,000</w:t>
            </w:r>
            <w:r>
              <w:rPr>
                <w:rFonts w:hint="eastAsia"/>
                <w:sz w:val="21"/>
              </w:rPr>
              <w:t>～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30,000</w:t>
            </w:r>
            <w:r>
              <w:rPr>
                <w:rFonts w:hint="eastAsia"/>
                <w:sz w:val="21"/>
              </w:rPr>
              <w:t>円程度</w:t>
            </w:r>
          </w:p>
        </w:tc>
      </w:tr>
      <w:tr>
        <w:trPr>
          <w:trHeight w:val="680" w:hRule="atLeast"/>
        </w:trPr>
        <w:tc>
          <w:tcPr>
            <w:tcW w:w="144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3" w:leftChars="-44" w:right="-106" w:rightChars="-44" w:hanging="103" w:hangingChars="49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抗原定量検査</w:t>
            </w:r>
          </w:p>
        </w:tc>
        <w:tc>
          <w:tcPr>
            <w:tcW w:w="192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w w:val="100"/>
                <w:sz w:val="21"/>
              </w:rPr>
            </w:pPr>
            <w:r>
              <w:rPr>
                <w:rFonts w:hint="eastAsia"/>
                <w:w w:val="100"/>
                <w:sz w:val="21"/>
              </w:rPr>
              <w:t>たんぱく質を検査</w:t>
            </w:r>
          </w:p>
          <w:p>
            <w:pPr>
              <w:pStyle w:val="0"/>
              <w:spacing w:line="280" w:lineRule="exact"/>
              <w:rPr>
                <w:rFonts w:hint="eastAsia"/>
                <w:w w:val="100"/>
                <w:sz w:val="21"/>
              </w:rPr>
            </w:pPr>
            <w:r>
              <w:rPr>
                <w:rFonts w:hint="eastAsia"/>
                <w:w w:val="100"/>
                <w:sz w:val="21"/>
              </w:rPr>
              <w:t>唾液で検査可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pacing w:val="-10"/>
                <w:w w:val="100"/>
                <w:sz w:val="21"/>
              </w:rPr>
            </w:pPr>
            <w:r>
              <w:rPr>
                <w:rFonts w:hint="eastAsia"/>
                <w:spacing w:val="-10"/>
                <w:w w:val="100"/>
                <w:sz w:val="21"/>
              </w:rPr>
              <w:t>30</w:t>
            </w:r>
            <w:r>
              <w:rPr>
                <w:rFonts w:hint="eastAsia"/>
                <w:spacing w:val="-10"/>
                <w:w w:val="100"/>
                <w:sz w:val="21"/>
              </w:rPr>
              <w:t>分＋搬送時間</w:t>
            </w:r>
          </w:p>
        </w:tc>
        <w:tc>
          <w:tcPr>
            <w:tcW w:w="24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自費検査は</w:t>
            </w:r>
          </w:p>
          <w:p>
            <w:pPr>
              <w:pStyle w:val="0"/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ほぼ実施なし</w:t>
            </w:r>
          </w:p>
        </w:tc>
      </w:tr>
      <w:tr>
        <w:trPr>
          <w:trHeight w:val="680" w:hRule="atLeast"/>
        </w:trPr>
        <w:tc>
          <w:tcPr>
            <w:tcW w:w="14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ind w:left="-3" w:leftChars="-44" w:right="-106" w:rightChars="-44" w:hanging="103" w:hangingChars="49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抗原定性検査</w:t>
            </w:r>
          </w:p>
        </w:tc>
        <w:tc>
          <w:tcPr>
            <w:tcW w:w="192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w w:val="100"/>
                <w:sz w:val="21"/>
              </w:rPr>
            </w:pPr>
            <w:r>
              <w:rPr>
                <w:rFonts w:hint="eastAsia"/>
                <w:w w:val="100"/>
                <w:sz w:val="21"/>
              </w:rPr>
              <w:t>たんぱく質を検査</w:t>
            </w:r>
          </w:p>
          <w:p>
            <w:pPr>
              <w:pStyle w:val="0"/>
              <w:spacing w:line="280" w:lineRule="exact"/>
              <w:rPr>
                <w:rFonts w:hint="eastAsia"/>
                <w:w w:val="1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w w:val="100"/>
                <w:sz w:val="21"/>
              </w:rPr>
              <w:t>唾液で検査不可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w w:val="100"/>
                <w:sz w:val="21"/>
              </w:rPr>
            </w:pPr>
            <w:r>
              <w:rPr>
                <w:rFonts w:hint="eastAsia"/>
                <w:w w:val="100"/>
                <w:sz w:val="21"/>
              </w:rPr>
              <w:t>40</w:t>
            </w:r>
            <w:r>
              <w:rPr>
                <w:rFonts w:hint="eastAsia"/>
                <w:w w:val="100"/>
                <w:sz w:val="21"/>
              </w:rPr>
              <w:t>分程度</w:t>
            </w:r>
          </w:p>
          <w:p>
            <w:pPr>
              <w:pStyle w:val="0"/>
              <w:spacing w:line="280" w:lineRule="exact"/>
              <w:rPr>
                <w:rFonts w:hint="eastAsia"/>
                <w:w w:val="10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w w:val="100"/>
                <w:sz w:val="21"/>
              </w:rPr>
              <w:t>その場で判明</w:t>
            </w:r>
          </w:p>
        </w:tc>
        <w:tc>
          <w:tcPr>
            <w:tcW w:w="240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rPr>
                <w:rFonts w:hint="eastAsia"/>
                <w:spacing w:val="-10"/>
                <w:w w:val="9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  <w:spacing w:val="-10"/>
                <w:w w:val="100"/>
                <w:sz w:val="21"/>
              </w:rPr>
              <w:t>4,5</w:t>
            </w:r>
            <w:r>
              <w:rPr>
                <w:rFonts w:hint="eastAsia" w:ascii="ＭＳ ゴシック" w:hAnsi="ＭＳ ゴシック" w:eastAsia="ＭＳ ゴシック"/>
                <w:color w:val="FF0000"/>
                <w:spacing w:val="-10"/>
                <w:w w:val="100"/>
                <w:sz w:val="21"/>
              </w:rPr>
              <w:t>日目</w:t>
            </w:r>
            <w:r>
              <w:rPr>
                <w:rFonts w:hint="eastAsia" w:ascii="ＭＳ ゴシック" w:hAnsi="ＭＳ ゴシック" w:eastAsia="ＭＳ ゴシック"/>
                <w:spacing w:val="-10"/>
                <w:w w:val="100"/>
                <w:sz w:val="21"/>
              </w:rPr>
              <w:t>に２回検査し、陰性確認後から解除</w:t>
            </w: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1,500</w:t>
            </w:r>
            <w:r>
              <w:rPr>
                <w:rFonts w:hint="eastAsia"/>
                <w:sz w:val="21"/>
              </w:rPr>
              <w:t>円程度</w:t>
            </w:r>
          </w:p>
        </w:tc>
      </w:tr>
    </w:tbl>
    <w:p>
      <w:pPr>
        <w:pStyle w:val="0"/>
        <w:spacing w:before="0" w:beforeLines="0" w:beforeAutospacing="0" w:line="20" w:lineRule="exact"/>
        <w:rPr>
          <w:rFonts w:hint="eastAsia"/>
        </w:rPr>
      </w:pPr>
    </w:p>
    <w:sectPr>
      <w:pgSz w:w="11906" w:h="16838"/>
      <w:pgMar w:top="1020" w:right="1417" w:bottom="964" w:left="1417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4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1</Pages>
  <Words>28</Words>
  <Characters>1022</Characters>
  <Application>JUST Note</Application>
  <Lines>194</Lines>
  <Paragraphs>61</Paragraphs>
  <CharactersWithSpaces>1061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知康</dc:creator>
  <cp:lastModifiedBy>夏目　命</cp:lastModifiedBy>
  <cp:lastPrinted>2022-01-31T09:34:17Z</cp:lastPrinted>
  <dcterms:created xsi:type="dcterms:W3CDTF">2022-01-16T02:31:00Z</dcterms:created>
  <dcterms:modified xsi:type="dcterms:W3CDTF">2022-02-01T13:14:35Z</dcterms:modified>
  <cp:revision>3</cp:revision>
</cp:coreProperties>
</file>